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B7A74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8B7A74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8B7A74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8B7A74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8B7A74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B7A74" w:rsidTr="004071A1">
        <w:tc>
          <w:tcPr>
            <w:tcW w:w="1800" w:type="dxa"/>
            <w:shd w:val="clear" w:color="auto" w:fill="F3F3F3"/>
          </w:tcPr>
          <w:p w:rsidR="004071A1" w:rsidRPr="008B7A74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B7A74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E03DCD" w:rsidRPr="008B7A74" w:rsidTr="004071A1">
        <w:tc>
          <w:tcPr>
            <w:tcW w:w="1800" w:type="dxa"/>
          </w:tcPr>
          <w:p w:rsidR="00E03DCD" w:rsidRPr="008B7A74" w:rsidRDefault="00E03DCD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color w:val="000000"/>
                <w:sz w:val="22"/>
                <w:szCs w:val="22"/>
              </w:rPr>
              <w:t>EGR5104</w:t>
            </w:r>
          </w:p>
        </w:tc>
        <w:tc>
          <w:tcPr>
            <w:tcW w:w="7740" w:type="dxa"/>
          </w:tcPr>
          <w:p w:rsidR="00E03DCD" w:rsidRPr="008B7A74" w:rsidRDefault="00E03DCD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color w:val="000000"/>
                <w:sz w:val="22"/>
                <w:szCs w:val="22"/>
              </w:rPr>
              <w:t>Desenho Técnico Rural</w:t>
            </w:r>
          </w:p>
        </w:tc>
      </w:tr>
    </w:tbl>
    <w:p w:rsidR="00FF5AF3" w:rsidRPr="008B7A74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B7A7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7A7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7A7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7A74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7A74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E2235E" w:rsidRPr="008B7A7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B7A74" w:rsidRDefault="00E03DCD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B7A74" w:rsidRDefault="00E03DCD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B7A74" w:rsidRDefault="00E03DCD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B7A74" w:rsidRDefault="00E03DCD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</w:tbl>
    <w:p w:rsidR="0073670A" w:rsidRPr="008B7A74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B7A7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B7A74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B7A74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B7A74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8B7A7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8B7A74" w:rsidRDefault="00E03DCD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8B7A74" w:rsidRDefault="00E03DCD" w:rsidP="007A4FD6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EGR5615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8B7A74" w:rsidRDefault="00E03DCD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B7A74">
              <w:rPr>
                <w:rFonts w:ascii="Verdana" w:hAnsi="Verdana" w:cs="Arial"/>
                <w:color w:val="000000"/>
                <w:sz w:val="22"/>
                <w:szCs w:val="22"/>
              </w:rPr>
              <w:t>Agronomia</w:t>
            </w:r>
          </w:p>
        </w:tc>
      </w:tr>
    </w:tbl>
    <w:p w:rsidR="00F53ADB" w:rsidRPr="008B7A74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03DCD" w:rsidRPr="008B7A74" w:rsidTr="00E03DC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03DCD" w:rsidRPr="008B7A74" w:rsidRDefault="00E03DC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E03DCD" w:rsidRPr="008B7A74" w:rsidRDefault="00E03DCD" w:rsidP="00E03DCD">
            <w:pPr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Normas para o desenho técnico (ABNT). Caligrafia e traçado. Instrumentos e material de desenho. Noções de Geometria Descritiva: projeções do ponto, da reta e do plano. Projeções: cilíndrica ortogonal e oblíqua. Projeção em vistas ortográficas e perspectiva isométrica. Noções de desenho arquitetônico aplicado a edificações rurais. Noções de desenho topográfico e projeções cotadas. Noções de desenho cartográfico. Noções de desenho de instalações hidrossanitárias. Noções de desenho de instalações elétricas predial.</w:t>
            </w:r>
          </w:p>
        </w:tc>
      </w:tr>
      <w:tr w:rsidR="00E03DCD" w:rsidRPr="008B7A74" w:rsidTr="00E03DC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03DCD" w:rsidRPr="008B7A74" w:rsidRDefault="00E03DC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E03DCD" w:rsidRPr="008B7A74" w:rsidRDefault="00E03DCD" w:rsidP="002F6077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Introdução ao desenvolvimento das técnicas básicas e fundamentais (noções) para a aprendizagem do desenho técnico de acordo com as normas técnicas  e objetivando o desenvolvimento de projetos aplicados na área das ciências rurais.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Introdução as norma da ABNT para o desenho técnico: caracteres; linhas; folha de desenho; escalas; vistas e cortes e cotagem. 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Introdução à Geometria Descritiva. Noções básicas dos sistemas de projeções mongeana (cilíndrica ortogonal e oblíqua). 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Desenho de vistas ortográficas e perspectivas isométricas.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TTE155B3B8t00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Conhecer, entender e represantar: Desenho cartográfico. Noç</w:t>
            </w:r>
            <w:r w:rsidRPr="008B7A74">
              <w:rPr>
                <w:rFonts w:ascii="Verdana" w:hAnsi="Verdana" w:cs="TTE155B3B8t00"/>
                <w:sz w:val="22"/>
                <w:szCs w:val="22"/>
              </w:rPr>
              <w:t xml:space="preserve">ões gerais de sistemas de projeção. A Terra: esfera, geóide, elipsóide de revolução e elipsóide de referência. Dimensões da Terra. Referenciais terrestres. Sistemas de coordenadas terrestres: geodésicas, topográficas e geográficas. Projeções </w:t>
            </w:r>
            <w:r w:rsidRPr="008B7A74">
              <w:rPr>
                <w:rFonts w:ascii="Verdana" w:hAnsi="Verdana" w:cs="Arial"/>
                <w:sz w:val="22"/>
                <w:szCs w:val="22"/>
              </w:rPr>
              <w:t>cartográficas: mapa, carta e planta. Atributos e escalas. Sistemas de projeção. Sistemas de coordenadas. Tipos de mapas (topográficos, geográficos, temáticos e físicos) , Símbolos cartográficos.</w:t>
            </w:r>
            <w:r w:rsidRPr="008B7A74">
              <w:rPr>
                <w:rFonts w:ascii="Verdana" w:hAnsi="Verdana" w:cs="TTE155B3B8t00"/>
                <w:sz w:val="22"/>
                <w:szCs w:val="22"/>
              </w:rPr>
              <w:t xml:space="preserve">. Escalas. Representação (desenho) cartográfica. 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Conhecer, entender e represantar: Desenho arquitetônico: cortes: planta, vista lateral; corte transversal e longitudinal; fachadas; locação e cobertura e planta de situação. 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Conhecer, entender e represantar: Desenho topográfico e </w:t>
            </w:r>
            <w:r w:rsidRPr="008B7A74">
              <w:rPr>
                <w:rFonts w:ascii="Verdana" w:hAnsi="Verdana" w:cs="Arial"/>
                <w:sz w:val="22"/>
                <w:szCs w:val="22"/>
              </w:rPr>
              <w:lastRenderedPageBreak/>
              <w:t xml:space="preserve">projeções cotadas: levantamento planimétrico e altimétrico. Poligonal de um terreno, curvas de nível, linhas de maior declive, seção de corte,  de aterro e mista. linhas de offsets. Acidentes geográficos naturais. 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Conhecer, entender e representar: Desenho de instalação hidrossanitária. Instalação de água fria e de esgoto sanitário: fossa e sumidouro. Simbologia e aplicação. </w:t>
            </w:r>
          </w:p>
          <w:p w:rsidR="00E03DCD" w:rsidRPr="008B7A74" w:rsidRDefault="00E03DCD" w:rsidP="00E03DC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Desenho de instalação elétrica de baixa tensão predial de baixa tensão.</w:t>
            </w:r>
          </w:p>
        </w:tc>
      </w:tr>
      <w:tr w:rsidR="00E03DCD" w:rsidRPr="008B7A74" w:rsidTr="00E03DC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03DCD" w:rsidRPr="008B7A74" w:rsidRDefault="00E03DC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Conteúdo Programático</w:t>
            </w:r>
          </w:p>
        </w:tc>
        <w:tc>
          <w:tcPr>
            <w:tcW w:w="7513" w:type="dxa"/>
          </w:tcPr>
          <w:p w:rsidR="00E03DCD" w:rsidRPr="008B7A74" w:rsidRDefault="00E03DCD" w:rsidP="0005792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I</w:t>
            </w:r>
            <w:r w:rsidRPr="008B7A7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Normas para o desenho técnico (ABNT): NBR8196 (escala), NBR8402 (caracteres), NBR8403 (linhas), NBR10067 (vistas e cortes), NBR10068 (folha de desenho), NBR10126 (cotagem), NBR10582 (conteúdo da folha de desenho), NBR10647 (norma geral desenho mecânico). Letreiro, números, palavras e frases. Técnicas de traçado à mão-livre. Instrumentos convencionais para o desenho técnico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II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Noções de Geometria Descritiva. Projeção cilíndrica ortogonal. 1o diedro. Projeções do ponto; posições da reta e dos planos. Exercício de aplicação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III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Vistas ortográficas, fundamentos intuitivos e geométricos. Vistas omitidas. Cotagem. Exercícios de aplicação.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VI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Perspectiva isométrica. Exercícios de aplicação.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V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Noções de desenho topográfico. Norma ABNT </w:t>
            </w:r>
            <w:r w:rsidRPr="008B7A74">
              <w:rPr>
                <w:rFonts w:ascii="Verdana" w:hAnsi="Verdana" w:cs="Helvetica"/>
                <w:sz w:val="22"/>
                <w:szCs w:val="22"/>
              </w:rPr>
              <w:t>NBR-13133/94.</w:t>
            </w:r>
            <w:r w:rsidRPr="008B7A74">
              <w:rPr>
                <w:rFonts w:ascii="Verdana" w:hAnsi="Verdana" w:cs="Arial"/>
                <w:sz w:val="22"/>
                <w:szCs w:val="22"/>
              </w:rPr>
              <w:t xml:space="preserve"> Planta topográfica: legenda e detalhes gráficos. Definição de angulos: azimute, rumo, deflexões, ângulos horizontais e verticais. Planimetria: poligonal, cálculo da área.  Altimetria: curvas de nível, perfis de terreno. Cortes: estradas e barragens. Exercícios de aplicação.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VI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Noções de desenho cartográfico: mapa, carta e planta. Atributos, escala, sistemas de projeção. Tipos de mapas. Símbolos cartográficos, mapa topográfico, mapas temáticos. Semiologia gráfica, variáveis gráficas. Mapas físicos: relevo, geológico, geomorfológico, tipos de solo, clinográficos, cobertura da terra, rede hidrográfica. Outros tipos: temas humanos, econômicos e físicos. Desenho de mapas: esboço gráfico e balanço visual, título, legenda, orientação geográfica, escalas, inserções e textos. Exercícios de aplicação.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VII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Noções de desenho arquitetônico. Norma ABNT NBR 06492 </w:t>
            </w:r>
            <w:r w:rsidRPr="008B7A74">
              <w:rPr>
                <w:rFonts w:ascii="Verdana" w:hAnsi="Verdana" w:cs="Arial"/>
                <w:sz w:val="22"/>
                <w:szCs w:val="22"/>
              </w:rPr>
              <w:lastRenderedPageBreak/>
              <w:t>(projeto de arquitetura). Uso de material, convenções, escala. Desenhos de projeto: plantas, cortes, fachadas, locação e cobertura e situação. Exercícios de aplicação.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VIII</w:t>
            </w:r>
            <w:bookmarkStart w:id="0" w:name="_GoBack"/>
            <w:bookmarkEnd w:id="0"/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Noções de desenho de instalações hidrossanitárias. Representação em perspectiva e projeção ortogonal. Esgoto: fossa e sumidouro. Normas técnicas: ABNT, NBR 5626, NBR 8160. NBR 13969. Exercício de aplicação.</w:t>
            </w:r>
          </w:p>
          <w:p w:rsidR="00E03DCD" w:rsidRPr="008B7A74" w:rsidRDefault="00E03DCD" w:rsidP="0005792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03DCD" w:rsidRPr="008B7A74" w:rsidRDefault="00E03DCD" w:rsidP="000579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/>
                <w:b/>
                <w:sz w:val="22"/>
                <w:szCs w:val="22"/>
              </w:rPr>
              <w:t>UNIDADE IX</w:t>
            </w:r>
          </w:p>
          <w:p w:rsidR="00E03DCD" w:rsidRPr="008B7A74" w:rsidRDefault="00E03DCD" w:rsidP="00E03DC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Noções de desenho de instalação elétrica predial. Normas técnicas (ABNT, NBR 5410) e (CELESC, E-321.0001/NT-01-BT). Exercícios de aplicação</w:t>
            </w:r>
          </w:p>
        </w:tc>
      </w:tr>
      <w:tr w:rsidR="00E03DCD" w:rsidRPr="008B7A74" w:rsidTr="00E03DC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03DCD" w:rsidRPr="008B7A74" w:rsidRDefault="00E03DC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8B7A74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BORNANCINI, José Carlos. Desenho Técnico Básico. Porto Alegre, Sulina, 1982.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CARNEIRO, Orlando. Construções Rurais. São Paulo, Nobel, 1979.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CREDER, Hélio. Instalações hidrosanitárias. São Paulo, Livro Técnico, 1983.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DUARTE, Paulo A.. Fundamentos da Cartografia. Florianópolis. Ed. da UFSC, 3ª Ed., 2006.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LAZZARINI NETO, S. Instalações e Benfeitorias. SP, SDF Editores Ltda, 1994.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MONTENEGRO, Gildo A. Desenho Arquitetônico. São Paulo. Editora Edgard Blucher Ltda.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 xml:space="preserve">NORMAS DA ABNT - CELESC. 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PRÍNCIPE JR, Alfredo dos Reis. Noções de Geometria Descritiva, Vol I e II. São Paulo, Nobel, 1969.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PROVENZA, Francesco. Desenho de Arquitetura. São Paulo. Escola PRO-TEC.</w:t>
            </w:r>
          </w:p>
          <w:p w:rsidR="00E03DCD" w:rsidRPr="008B7A74" w:rsidRDefault="00E03DCD" w:rsidP="0005792C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</w:rPr>
              <w:t>RANGEL, Alcyr Pinheiro. Projeções Cotadas. Rio de Janeiro, Livro Técnico, 1982.</w:t>
            </w:r>
          </w:p>
          <w:p w:rsidR="00E03DCD" w:rsidRPr="008B7A74" w:rsidRDefault="00E03DCD" w:rsidP="00E03DCD">
            <w:pPr>
              <w:rPr>
                <w:rFonts w:ascii="Verdana" w:hAnsi="Verdana" w:cs="Arial"/>
                <w:sz w:val="22"/>
                <w:szCs w:val="22"/>
              </w:rPr>
            </w:pPr>
            <w:r w:rsidRPr="008B7A74">
              <w:rPr>
                <w:rFonts w:ascii="Verdana" w:hAnsi="Verdana" w:cs="Arial"/>
                <w:sz w:val="22"/>
                <w:szCs w:val="22"/>
                <w:lang w:val="en-US"/>
              </w:rPr>
              <w:t xml:space="preserve">SPECK, H.  </w:t>
            </w:r>
            <w:proofErr w:type="gramStart"/>
            <w:r w:rsidRPr="008B7A74">
              <w:rPr>
                <w:rFonts w:ascii="Verdana" w:hAnsi="Verdana" w:cs="Arial"/>
                <w:sz w:val="22"/>
                <w:szCs w:val="22"/>
                <w:lang w:val="en-US"/>
              </w:rPr>
              <w:t>José ,</w:t>
            </w:r>
            <w:proofErr w:type="gramEnd"/>
            <w:r w:rsidRPr="008B7A74">
              <w:rPr>
                <w:rFonts w:ascii="Verdana" w:hAnsi="Verdana" w:cs="Arial"/>
                <w:sz w:val="22"/>
                <w:szCs w:val="22"/>
                <w:lang w:val="en-US"/>
              </w:rPr>
              <w:t xml:space="preserve"> et al. </w:t>
            </w:r>
            <w:r w:rsidRPr="008B7A74">
              <w:rPr>
                <w:rFonts w:ascii="Verdana" w:hAnsi="Verdana" w:cs="Arial"/>
                <w:sz w:val="22"/>
                <w:szCs w:val="22"/>
              </w:rPr>
              <w:t>Manual Básico de Desenho Técnico. Fpolis/SC, Ed. da UFSC, 2004.</w:t>
            </w:r>
          </w:p>
        </w:tc>
      </w:tr>
    </w:tbl>
    <w:p w:rsidR="00E039C0" w:rsidRPr="008B7A74" w:rsidRDefault="00E039C0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E039C0" w:rsidRPr="008B7A7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F0" w:rsidRDefault="00DA4DF0">
      <w:r>
        <w:separator/>
      </w:r>
    </w:p>
  </w:endnote>
  <w:endnote w:type="continuationSeparator" w:id="0">
    <w:p w:rsidR="00DA4DF0" w:rsidRDefault="00DA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55B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F0" w:rsidRDefault="00DA4DF0">
      <w:r>
        <w:separator/>
      </w:r>
    </w:p>
  </w:footnote>
  <w:footnote w:type="continuationSeparator" w:id="0">
    <w:p w:rsidR="00DA4DF0" w:rsidRDefault="00DA4DF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24A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D6F63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B7A74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3E4A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A4DF0"/>
    <w:rsid w:val="00DB3F35"/>
    <w:rsid w:val="00DC1278"/>
    <w:rsid w:val="00DC4FE2"/>
    <w:rsid w:val="00DE39F9"/>
    <w:rsid w:val="00E038A8"/>
    <w:rsid w:val="00E039C0"/>
    <w:rsid w:val="00E03DCD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E8D7-03DF-49CF-BF25-DBDA0A48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2015-01-28T17:43:00Z</dcterms:created>
  <dcterms:modified xsi:type="dcterms:W3CDTF">2015-01-28T17:43:00Z</dcterms:modified>
</cp:coreProperties>
</file>