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F7692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F7692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769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F769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F7692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F7692" w:rsidTr="004071A1">
        <w:tc>
          <w:tcPr>
            <w:tcW w:w="1800" w:type="dxa"/>
            <w:shd w:val="clear" w:color="auto" w:fill="F3F3F3"/>
          </w:tcPr>
          <w:p w:rsidR="004071A1" w:rsidRPr="008F769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F769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F7692" w:rsidRPr="008F7692" w:rsidTr="004071A1">
        <w:tc>
          <w:tcPr>
            <w:tcW w:w="1800" w:type="dxa"/>
          </w:tcPr>
          <w:p w:rsidR="008F7692" w:rsidRPr="008F7692" w:rsidRDefault="008F7692" w:rsidP="0062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EGR5015</w:t>
            </w:r>
          </w:p>
        </w:tc>
        <w:tc>
          <w:tcPr>
            <w:tcW w:w="7740" w:type="dxa"/>
          </w:tcPr>
          <w:p w:rsidR="008F7692" w:rsidRPr="008F7692" w:rsidRDefault="008F7692" w:rsidP="0062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Design de Superfície</w:t>
            </w:r>
          </w:p>
        </w:tc>
      </w:tr>
    </w:tbl>
    <w:p w:rsidR="00FF5AF3" w:rsidRPr="008F7692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F769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8F7692" w:rsidRPr="008F769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F7692" w:rsidRDefault="008F7692" w:rsidP="00424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F7692" w:rsidRDefault="008F7692" w:rsidP="00424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F7692" w:rsidRDefault="008F7692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F7692" w:rsidRDefault="008F7692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8F7692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F769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F769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F769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F7692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8F7692" w:rsidRPr="008F7692" w:rsidTr="005A0E54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92" w:rsidRPr="008F7692" w:rsidRDefault="008F7692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92" w:rsidRPr="008F7692" w:rsidRDefault="008F7692" w:rsidP="005A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F7692" w:rsidRDefault="008F7692" w:rsidP="008F76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</w:t>
            </w: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Animação</w:t>
            </w:r>
          </w:p>
        </w:tc>
      </w:tr>
      <w:tr w:rsidR="00E12C92" w:rsidRPr="008F769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F7692" w:rsidRDefault="008F7692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F7692" w:rsidRDefault="008F7692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EGR7205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8F7692" w:rsidRDefault="008F76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8F7692" w:rsidRPr="008F7692" w:rsidRDefault="008F76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8F7692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8F7692" w:rsidRPr="008F7692" w:rsidRDefault="008F7692" w:rsidP="00EA3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Conceitos e características do Design de Superfície. Aplicações. Noção de módulo. Pesquisa de referências visuais. Técnicas de repetição. Projeto de padronagem (têxtil, cerâmica e/ou gráfico).  </w:t>
            </w:r>
          </w:p>
        </w:tc>
      </w:tr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Conceituar e caracterizar design de superfície;</w:t>
            </w:r>
          </w:p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Conhecer diferentes aplicações onde o design de superfície está inserido;</w:t>
            </w:r>
          </w:p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Pesquisar referências visuais;</w:t>
            </w:r>
          </w:p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Conceituar módulo e conhecer suas técnicas de repetição;</w:t>
            </w:r>
          </w:p>
          <w:p w:rsidR="008F7692" w:rsidRPr="008F7692" w:rsidRDefault="008F7692" w:rsidP="00EA3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Executar projeto de padronagem (em diferentes áreas: ).</w:t>
            </w:r>
          </w:p>
        </w:tc>
      </w:tr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8F7692" w:rsidRPr="008F7692" w:rsidRDefault="008F7692" w:rsidP="0065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Design de superfície: conceito, origens, características e aplicações.</w:t>
            </w:r>
          </w:p>
          <w:p w:rsidR="008F7692" w:rsidRPr="008F7692" w:rsidRDefault="008F7692" w:rsidP="0065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Pesquisa de referências visuais (fontes individuais, naturais, culturais e abstratas)</w:t>
            </w:r>
          </w:p>
          <w:p w:rsidR="008F7692" w:rsidRPr="008F7692" w:rsidRDefault="008F7692" w:rsidP="0065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Módulo: conceito. Técnicas de repetição de módulos.</w:t>
            </w:r>
          </w:p>
          <w:p w:rsidR="008F7692" w:rsidRPr="008F7692" w:rsidRDefault="008F7692" w:rsidP="006542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Projeto de padronagem (têxtil, cerâmica e/ou gráfico).  </w:t>
            </w:r>
          </w:p>
        </w:tc>
      </w:tr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8F7692" w:rsidRPr="008F7692" w:rsidRDefault="008F7692" w:rsidP="00EB14EF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DONDIS, Donis A.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Sintaxe da Linguagem Visual</w:t>
            </w:r>
            <w:r w:rsidRPr="008F7692">
              <w:rPr>
                <w:rFonts w:ascii="Arial" w:hAnsi="Arial" w:cs="Arial"/>
                <w:sz w:val="20"/>
                <w:szCs w:val="20"/>
              </w:rPr>
              <w:t>. Tradução de Jefferson Luiz Camargo. São Paulo:  Martins Fontes, 2000.</w:t>
            </w:r>
            <w:r w:rsidRPr="008F7692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692" w:rsidRPr="008F7692" w:rsidRDefault="008F7692" w:rsidP="00EB1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FERRO, Jorge Eliecer Moreno. </w:t>
            </w:r>
            <w:r w:rsidRPr="008F76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Proposta de Ambiente Virtual Colaborativo/Cooperativo para Atualização e Capacitação de Designers no Desenvolvimentos de Novos Produtos para o Setor de Revestimentos Cerâmicos.</w:t>
            </w:r>
            <w:r w:rsidRPr="008F7692">
              <w:rPr>
                <w:rFonts w:ascii="Arial" w:hAnsi="Arial" w:cs="Arial"/>
                <w:sz w:val="20"/>
                <w:szCs w:val="20"/>
              </w:rPr>
              <w:t>. Florianópolis, UFSC, 2003. Dissertação. (Mestrado em Engenharia de Produção). Programa de Pós-Graduação em Engenharia de Produção. Universidade Federal de Santa Catarina, 2003.</w:t>
            </w:r>
          </w:p>
          <w:p w:rsidR="008F7692" w:rsidRPr="008F7692" w:rsidRDefault="008F7692" w:rsidP="00EB1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RIBEIRO, MIlton.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Planejamento Visual Gráfico</w:t>
            </w:r>
            <w:r w:rsidRPr="008F7692">
              <w:rPr>
                <w:rFonts w:ascii="Arial" w:hAnsi="Arial" w:cs="Arial"/>
                <w:sz w:val="20"/>
                <w:szCs w:val="20"/>
              </w:rPr>
              <w:t>.Brasília: Linha Gráfica, 1998.</w:t>
            </w:r>
          </w:p>
          <w:p w:rsidR="008F7692" w:rsidRPr="008F7692" w:rsidRDefault="008F7692" w:rsidP="00EB14EF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RUBIN, Renata. 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Desenhando a Superfície</w:t>
            </w:r>
            <w:r w:rsidRPr="008F76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São Paulo, Rosari, 2004</w:t>
            </w:r>
          </w:p>
          <w:p w:rsidR="008F7692" w:rsidRPr="008F7692" w:rsidRDefault="008F7692" w:rsidP="00EB14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WONG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692">
              <w:rPr>
                <w:rFonts w:ascii="Arial" w:hAnsi="Arial" w:cs="Arial"/>
                <w:sz w:val="20"/>
                <w:szCs w:val="20"/>
              </w:rPr>
              <w:t xml:space="preserve"> Wucius. 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Princípios de forma e desenho</w:t>
            </w:r>
            <w:r w:rsidRPr="008F7692">
              <w:rPr>
                <w:rFonts w:ascii="Arial" w:hAnsi="Arial" w:cs="Arial"/>
                <w:sz w:val="20"/>
                <w:szCs w:val="20"/>
              </w:rPr>
              <w:t>. São Paulo: Martins Fontes, 1998.</w:t>
            </w:r>
          </w:p>
          <w:p w:rsidR="008F7692" w:rsidRPr="008F7692" w:rsidRDefault="008F7692" w:rsidP="00EB14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>Ruthschilling</w:t>
            </w:r>
            <w:proofErr w:type="spellEnd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>Evelise</w:t>
            </w:r>
            <w:proofErr w:type="spellEnd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>Anicet</w:t>
            </w:r>
            <w:proofErr w:type="spellEnd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F7692">
              <w:rPr>
                <w:rFonts w:ascii="Arial" w:hAnsi="Arial" w:cs="Arial"/>
                <w:b/>
                <w:sz w:val="20"/>
                <w:szCs w:val="20"/>
              </w:rPr>
              <w:t>Design de Superfície</w:t>
            </w:r>
            <w:r w:rsidRPr="008F7692">
              <w:rPr>
                <w:rFonts w:ascii="Arial" w:hAnsi="Arial" w:cs="Arial"/>
                <w:sz w:val="20"/>
                <w:szCs w:val="20"/>
              </w:rPr>
              <w:t>. Porto Alegre. Editora da Universidade Federal de Santa Catarina, 2010.</w:t>
            </w:r>
          </w:p>
        </w:tc>
      </w:tr>
    </w:tbl>
    <w:p w:rsidR="00A459DB" w:rsidRPr="008F7692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8F7692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69" w:rsidRDefault="00B57069">
      <w:r>
        <w:separator/>
      </w:r>
    </w:p>
  </w:endnote>
  <w:endnote w:type="continuationSeparator" w:id="0">
    <w:p w:rsidR="00B57069" w:rsidRDefault="00B5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69" w:rsidRDefault="00B57069">
      <w:r>
        <w:separator/>
      </w:r>
    </w:p>
  </w:footnote>
  <w:footnote w:type="continuationSeparator" w:id="0">
    <w:p w:rsidR="00B57069" w:rsidRDefault="00B5706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174B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692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57069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3363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27F5-1FC1-4808-B3C4-5141BDEC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2015-02-02T18:06:00Z</dcterms:created>
  <dcterms:modified xsi:type="dcterms:W3CDTF">2015-02-02T18:06:00Z</dcterms:modified>
</cp:coreProperties>
</file>